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VR1 2025 90 vom 9. Januar 2026</w:t>
      </w:r>
    </w:p>
    <w:p>
      <w:r>
        <w:t>GR Gerichte, 2026-01-09, IT</w:t>
      </w:r>
    </w:p>
    <w:p>
      <w:r>
        <w:rPr>
          <w:b/>
        </w:rPr>
        <w:t xml:space="preserve">Quelle: </w:t>
      </w:r>
      <w:r>
        <w:t>https://mcp.opencaselaw.ch/entscheid/gr_gerichte_VR1 2025 90</w:t>
      </w:r>
    </w:p>
    <w:p>
      <w:r>
        <w:t>FR: GR_GERICHTE VR1 2025 90 du 9 janvier 2026</w:t>
      </w:r>
    </w:p>
    <w:p>
      <w:r>
        <w:t>IT: GR_GERICHTE VR1 2025 90 del 9 gennaio 2026</w:t>
      </w:r>
    </w:p>
    <w:p>
      <w:pPr>
        <w:pStyle w:val="Heading2"/>
      </w:pPr>
      <w:r>
        <w:t>Regeste</w:t>
      </w:r>
    </w:p>
    <w:p>
      <w:r>
        <w:t>diritto di voto | politische Rechte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 5 amministrativo del Cantone dei Grigioni V 24 5 del 17 ottobre 2024 consid. 2.2 segg., V 20 14 del 4 maggio 2021 consid. 6.4; V 12 10 del 3 settembre 2013 consid. 3.a), – giusta la giurisprudenza del Tribunale federale, non è rilevante il momento in cui viene identificato un vizio specifico, bensì è sufficiente che vi sia stata l'opportunità di scoprire e censurare tale difetto (sentenza del Tribunale federale 1C_692/2024 del 21 marzo 2025 consid. 4.2 seg.), – ciò ravvisato, le carenze relative agli atti preparatori in vista di elezioni e votazioni devono essere segnalate immediatamente. Lo scopo di questa prassi è garantire che le carenze possano essere corrette prima delle elezioni o delle votazioni e che non sia necessario ripetere lo scrutinio. In linea di principio, gli aventi diritto di voto che non si attengono a tale onere perdono il diritto di contestare l'elezione o la votazione (DTF 140 I 338 consid. 4.4; sentenze del Tribunale federale 1C_692/2024 del 21 marzo 2025 consid. 4.2; 1C_556/2019 del 9 settembre 2020 consid. 4.1 seg.), – se, come nel caso in esame, la decorrenza del termine poggia sulla conoscenza del motivo di ricorso, si ritiene che tale termine decorre dal momento in cui l'avente diritto di voto è messo in condizione di presentare effettivamente un ricorso contro l'atto criticato (cfr. sentenze del Tribunale federale 1C_692/2024 del 21 marzo 2025 consid. 4.2, 1C_6/2022 del 30 giugno 2022 consid. 4, 1C_155/2021 del 23 novembre 2021 consid. 5.3 e 1C_301/2019 del 1° novembre 2019 consid. 4.4.3), – dal ricorso emerge che A._____ è venuta a conoscenza delle asserite manchevolezze, ovvero il mancato ossequio del termine di 14 giorni e l’omessa allegazione alla convocazione del Messaggio no. Z.2._____ per l’approvazione delle disposizioni transitorie relative alla tassazione del consumo di acqua potabile e delle acque luride, già il 5 dicembre 2025. Dunque, a far tempo da questa data, A._____ aveva in ogni caso quantomeno la possibilità di ricorrere contro tali vizi, – nel caso concreto, pertanto, a prescindere dal fatto che il succitato Messaggio sia in seguito stato trasmesso il 10 dicembre 2025, il termine di ricorso di 10 giorni ha iniziato a decorrere dal 5 dicembre 2025, – ne consegue che il ricorso del 29 dicembre 2025 è palesemente intempestivo,</w:t>
      </w:r>
    </w:p>
    <w:p>
      <w:r>
        <w:rPr>
          <w:b/>
        </w:rPr>
        <w:t>E. 4</w:t>
      </w:r>
    </w:p>
    <w:p>
      <w:r>
        <w:t>/ 5 – a titolo abbondanziale, si rileva che, da quanto emerge dal verbale della seduta del Consiglio comunale del 17 dicembre 2025, A._____ non ha sollevato censura alcuna in merito alla rispettiva convocazione, – non vi sono indizi per un'eventuale nullità, – ciò considerato, il ricorso è da ritenere manifestamente inammissibile, – sulla richiesta di conferire l’effetto sospensivo al ricorso non deve dunque essere statuito, – il Tribunale giudica il presente ricorso in qualità di giudice unico, essendo esso palesemente inammissibile (art. 43 cpv. 3 lett. b LGA), – ai ricorrenti, soccombenti in causa, sono accollate le spese procedurali pari a CHF 1’000.00 (art. 73 cpv. 1 LGA), che gli vengono poste a carico – in solido – in ragione di ½ ciascuno, – al convenuto non sono assegnate ripetibili (art. 78 cpv. 2 LGA).</w:t>
      </w:r>
    </w:p>
    <w:p>
      <w:r>
        <w:rPr>
          <w:b/>
        </w:rPr>
        <w:t>E. 5</w:t>
      </w:r>
    </w:p>
    <w:p>
      <w:r>
        <w:t>[Comunicazione]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